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ISVB Member Guidelines</w:t>
      </w:r>
    </w:p>
    <w:p>
      <w:pPr/>
      <w:r>
        <w:t xml:space="preserve">Oct 15, 2026</w:t>
      </w:r>
      <w:r>
        <w:t xml:space="preserve"> · </w:t>
      </w:r>
      <w:r>
        <w:t xml:space="preserve">@Jamie</w:t>
      </w:r>
    </w:p>
    <w:p>
      <w:pPr/>
      <w:r>
        <w:t xml:space="preserve">These guidelines set out what it means to be a member of the International Society for Vocal Biomarkers (ISVB), including the code of conduct every member agrees to follow. They are adopted by the Steering Committee under the ISVB Founding Charter.</w:t>
      </w:r>
    </w:p>
    <w:p>
      <w:pPr>
        <w:pStyle w:val="Heading2"/>
      </w:pPr>
      <w:r>
        <w:t xml:space="preserve">1. Membership</w:t>
      </w:r>
    </w:p>
    <w:p>
      <w:pPr>
        <w:pStyle w:val="ListParagraph"/>
        <w:numPr>
          <w:ilvl w:val="0"/>
          <w:numId w:val="2"/>
        </w:numPr>
      </w:pPr>
      <w:r>
        <w:rPr>
          <w:b/>
        </w:rPr>
        <w:t xml:space="preserve">Who can join.</w:t>
      </w:r>
      <w:r>
        <w:t xml:space="preserve"> Membership is open to individuals and organizations with an interest in voice and speech biomarkers, including researchers, clinicians, trainees, industry professionals and patient advocates.</w:t>
      </w:r>
    </w:p>
    <w:p>
      <w:pPr>
        <w:pStyle w:val="ListParagraph"/>
        <w:numPr>
          <w:ilvl w:val="0"/>
          <w:numId w:val="2"/>
        </w:numPr>
      </w:pPr>
      <w:r>
        <w:rPr>
          <w:b/>
        </w:rPr>
        <w:t xml:space="preserve">Categories and dues.</w:t>
      </w:r>
      <w:r>
        <w:t xml:space="preserve"> ISVB offers three membership categories: student/trainee, individual and corporate. The Steering Committee sets the dues for each: [dues TBD].</w:t>
      </w:r>
    </w:p>
    <w:p>
      <w:pPr>
        <w:pStyle w:val="ListParagraph"/>
        <w:numPr>
          <w:ilvl w:val="0"/>
          <w:numId w:val="2"/>
        </w:numPr>
      </w:pPr>
      <w:r>
        <w:rPr>
          <w:b/>
        </w:rPr>
        <w:t xml:space="preserve">Renewal.</w:t>
      </w:r>
      <w:r>
        <w:t xml:space="preserve"> Membership runs for [one year] and is renewed by paying the current dues.</w:t>
      </w:r>
    </w:p>
    <w:p>
      <w:pPr>
        <w:pStyle w:val="ListParagraph"/>
        <w:numPr>
          <w:ilvl w:val="0"/>
          <w:numId w:val="2"/>
        </w:numPr>
      </w:pPr>
      <w:r>
        <w:rPr>
          <w:b/>
        </w:rPr>
        <w:t xml:space="preserve">Leaving.</w:t>
      </w:r>
      <w:r>
        <w:t xml:space="preserve"> Members may leave at any time by notifying the Society. Dues already paid are not refunded.</w:t>
      </w:r>
    </w:p>
    <w:p>
      <w:pPr>
        <w:pStyle w:val="ListParagraph"/>
        <w:numPr>
          <w:ilvl w:val="0"/>
          <w:numId w:val="2"/>
        </w:numPr>
      </w:pPr>
      <w:r>
        <w:rPr>
          <w:b/>
        </w:rPr>
        <w:t xml:space="preserve">Agreement.</w:t>
      </w:r>
      <w:r>
        <w:t xml:space="preserve"> By joining or renewing, members agree to follow these guidelines, including the code of conduct.</w:t>
      </w:r>
    </w:p>
    <w:p>
      <w:pPr>
        <w:pStyle w:val="Heading2"/>
      </w:pPr>
      <w:r>
        <w:t xml:space="preserve">2. Taking part</w:t>
      </w:r>
    </w:p>
    <w:p>
      <w:pPr>
        <w:pStyle w:val="ListParagraph"/>
        <w:numPr>
          <w:ilvl w:val="0"/>
          <w:numId w:val="3"/>
        </w:numPr>
      </w:pPr>
      <w:r>
        <w:rPr>
          <w:b/>
        </w:rPr>
        <w:t xml:space="preserve">Special Interest Groups.</w:t>
      </w:r>
      <w:r>
        <w:t xml:space="preserve"> Members may join any SIG to collaborate with others on shared topics. SIGs are named by the Steering Committee, and members may suggest new topics.</w:t>
      </w:r>
    </w:p>
    <w:p>
      <w:pPr>
        <w:pStyle w:val="ListParagraph"/>
        <w:numPr>
          <w:ilvl w:val="0"/>
          <w:numId w:val="3"/>
        </w:numPr>
      </w:pPr>
      <w:r>
        <w:rPr>
          <w:b/>
        </w:rPr>
        <w:t xml:space="preserve">Events and resources.</w:t>
      </w:r>
      <w:r>
        <w:t xml:space="preserve"> Members receive special registration rates at the Voice AI Symposium and the International Vocal Biomarkers Conference, and receive Society communications.</w:t>
      </w:r>
    </w:p>
    <w:p>
      <w:pPr>
        <w:pStyle w:val="ListParagraph"/>
        <w:numPr>
          <w:ilvl w:val="0"/>
          <w:numId w:val="3"/>
        </w:numPr>
      </w:pPr>
      <w:r>
        <w:rPr>
          <w:b/>
        </w:rPr>
        <w:t xml:space="preserve">Governance.</w:t>
      </w:r>
      <w:r>
        <w:t xml:space="preserve"> Members do not vote on Society governance. The Steering Committee governs the Society, as set out in the Founding Charter.</w:t>
      </w:r>
    </w:p>
    <w:p>
      <w:pPr>
        <w:pStyle w:val="ListParagraph"/>
        <w:numPr>
          <w:ilvl w:val="0"/>
          <w:numId w:val="3"/>
        </w:numPr>
      </w:pPr>
      <w:r>
        <w:rPr>
          <w:b/>
        </w:rPr>
        <w:t xml:space="preserve">Speaking for the Society.</w:t>
      </w:r>
      <w:r>
        <w:t xml:space="preserve"> Members speak for themselves, not for ISVB. Only the Steering Committee, or people it authorizes, may make statements, sign agreements or use the ISVB name and logo on the Society's behalf.</w:t>
      </w:r>
    </w:p>
    <w:p>
      <w:pPr>
        <w:pStyle w:val="Heading2"/>
      </w:pPr>
      <w:r>
        <w:t xml:space="preserve">3. Code of conduct</w:t>
      </w:r>
    </w:p>
    <w:p>
      <w:pPr/>
      <w:r>
        <w:t xml:space="preserve">ISVB is a professional community where everyone can take part safely and with respect. This code applies in every Society setting: meetings, SIGs, webinars, online channels, social media about the Society, and Society-sponsored events.</w:t>
      </w:r>
    </w:p>
    <w:p>
      <w:pPr>
        <w:pStyle w:val="Heading3"/>
      </w:pPr>
      <w:r>
        <w:t xml:space="preserve">Expected behavior</w:t>
      </w:r>
    </w:p>
    <w:p>
      <w:pPr>
        <w:pStyle w:val="ListParagraph"/>
        <w:numPr>
          <w:ilvl w:val="0"/>
          <w:numId w:val="4"/>
        </w:numPr>
      </w:pPr>
      <w:r>
        <w:t xml:space="preserve">Treat others with respect and courtesy, across disciplines, career stages, countries and languages.</w:t>
      </w:r>
    </w:p>
    <w:p>
      <w:pPr>
        <w:pStyle w:val="ListParagraph"/>
        <w:numPr>
          <w:ilvl w:val="0"/>
          <w:numId w:val="4"/>
        </w:numPr>
      </w:pPr>
      <w:r>
        <w:t xml:space="preserve">Welcome different views and debate ideas, not people.</w:t>
      </w:r>
    </w:p>
    <w:p>
      <w:pPr>
        <w:pStyle w:val="ListParagraph"/>
        <w:numPr>
          <w:ilvl w:val="0"/>
          <w:numId w:val="4"/>
        </w:numPr>
      </w:pPr>
      <w:r>
        <w:t xml:space="preserve">Give credit for others' work and ideas.</w:t>
      </w:r>
    </w:p>
    <w:p>
      <w:pPr>
        <w:pStyle w:val="ListParagraph"/>
        <w:numPr>
          <w:ilvl w:val="0"/>
          <w:numId w:val="4"/>
        </w:numPr>
      </w:pPr>
      <w:r>
        <w:t xml:space="preserve">Respect the confidentiality of unpublished work and private discussions shared in Society settings.</w:t>
      </w:r>
    </w:p>
    <w:p>
      <w:pPr>
        <w:pStyle w:val="ListParagraph"/>
        <w:numPr>
          <w:ilvl w:val="0"/>
          <w:numId w:val="4"/>
        </w:numPr>
      </w:pPr>
      <w:r>
        <w:t xml:space="preserve">Follow the reasonable directions of event organizers and SIG co-chairs.</w:t>
      </w:r>
    </w:p>
    <w:p>
      <w:pPr>
        <w:pStyle w:val="Heading3"/>
      </w:pPr>
      <w:r>
        <w:t xml:space="preserve">Unacceptable behavior</w:t>
      </w:r>
    </w:p>
    <w:p>
      <w:pPr>
        <w:pStyle w:val="ListParagraph"/>
        <w:numPr>
          <w:ilvl w:val="0"/>
          <w:numId w:val="5"/>
        </w:numPr>
      </w:pPr>
      <w:r>
        <w:t xml:space="preserve">Harassment of any kind, in person or online, including bullying, intimidation, threats or any unwelcome conduct that makes someone feel unsafe or excluded.</w:t>
      </w:r>
    </w:p>
    <w:p>
      <w:pPr>
        <w:pStyle w:val="ListParagraph"/>
        <w:numPr>
          <w:ilvl w:val="0"/>
          <w:numId w:val="5"/>
        </w:numPr>
      </w:pPr>
      <w:r>
        <w:t xml:space="preserve">Discrimination or demeaning remarks based on race, ethnicity, national origin, sex, gender identity, sexual orientation, disability, age, religion or any other personal characteristic.</w:t>
      </w:r>
    </w:p>
    <w:p>
      <w:pPr>
        <w:pStyle w:val="ListParagraph"/>
        <w:numPr>
          <w:ilvl w:val="0"/>
          <w:numId w:val="5"/>
        </w:numPr>
      </w:pPr>
      <w:r>
        <w:t xml:space="preserve">Disrupting talks, meetings or online discussions.</w:t>
      </w:r>
    </w:p>
    <w:p>
      <w:pPr>
        <w:pStyle w:val="ListParagraph"/>
        <w:numPr>
          <w:ilvl w:val="0"/>
          <w:numId w:val="5"/>
        </w:numPr>
      </w:pPr>
      <w:r>
        <w:t xml:space="preserve">Recording, photographing or sharing others' presentations or contributions without permission.</w:t>
      </w:r>
    </w:p>
    <w:p>
      <w:pPr>
        <w:pStyle w:val="ListParagraph"/>
        <w:numPr>
          <w:ilvl w:val="0"/>
          <w:numId w:val="5"/>
        </w:numPr>
      </w:pPr>
      <w:r>
        <w:t xml:space="preserve">Retaliating against anyone who reports a concern or takes part in a review.</w:t>
      </w:r>
    </w:p>
    <w:p>
      <w:pPr>
        <w:pStyle w:val="Heading2"/>
      </w:pPr>
      <w:r>
        <w:t xml:space="preserve">4. Research integrity</w:t>
      </w:r>
    </w:p>
    <w:p>
      <w:pPr/>
      <w:r>
        <w:t xml:space="preserve">Members hold themselves to a high standard of integrity when sharing work through the Society.</w:t>
      </w:r>
    </w:p>
    <w:p>
      <w:pPr>
        <w:pStyle w:val="ListParagraph"/>
        <w:numPr>
          <w:ilvl w:val="0"/>
          <w:numId w:val="6"/>
        </w:numPr>
      </w:pPr>
      <w:r>
        <w:rPr>
          <w:b/>
        </w:rPr>
        <w:t xml:space="preserve">Honest work.</w:t>
      </w:r>
      <w:r>
        <w:t xml:space="preserve"> Present data and findings accurately. Do not fabricate, falsify or plagiarize.</w:t>
      </w:r>
    </w:p>
    <w:p>
      <w:pPr>
        <w:pStyle w:val="ListParagraph"/>
        <w:numPr>
          <w:ilvl w:val="0"/>
          <w:numId w:val="6"/>
        </w:numPr>
      </w:pPr>
      <w:r>
        <w:rPr>
          <w:b/>
        </w:rPr>
        <w:t xml:space="preserve">Shared resources.</w:t>
      </w:r>
      <w:r>
        <w:t xml:space="preserve"> Use datasets, code and materials shared through ISVB only as their terms permit, and cite them.</w:t>
      </w:r>
    </w:p>
    <w:p>
      <w:pPr>
        <w:pStyle w:val="ListParagraph"/>
        <w:numPr>
          <w:ilvl w:val="0"/>
          <w:numId w:val="6"/>
        </w:numPr>
      </w:pPr>
      <w:r>
        <w:rPr>
          <w:b/>
        </w:rPr>
        <w:t xml:space="preserve">Conflicts of interest.</w:t>
      </w:r>
      <w:r>
        <w:t xml:space="preserve"> Disclose relevant financial or professional interests when presenting, leading a session or contributing to a Society output.</w:t>
      </w:r>
    </w:p>
    <w:p>
      <w:pPr>
        <w:pStyle w:val="ListParagraph"/>
        <w:numPr>
          <w:ilvl w:val="0"/>
          <w:numId w:val="6"/>
        </w:numPr>
      </w:pPr>
      <w:r>
        <w:rPr>
          <w:b/>
        </w:rPr>
        <w:t xml:space="preserve">Commercial activity.</w:t>
      </w:r>
      <w:r>
        <w:t xml:space="preserve"> Do not use Society channels or member contact details for sales or promotion without Steering Committee approval.</w:t>
      </w:r>
    </w:p>
    <w:p>
      <w:pPr>
        <w:pStyle w:val="Heading2"/>
      </w:pPr>
      <w:r>
        <w:t xml:space="preserve">5. Removal from the Society</w:t>
      </w:r>
    </w:p>
    <w:p>
      <w:pPr/>
      <w:r>
        <w:t xml:space="preserve">ISVB reserves the right to remove any member who does not follow this code of conduct. Removal ends the person's membership and their access to SIGs, member rates and other Society activities.</w:t>
      </w:r>
    </w:p>
    <w:p>
      <w:pPr>
        <w:pStyle w:val="Heading2"/>
      </w:pPr>
      <w:r>
        <w:t xml:space="preserve">6. Updates</w:t>
      </w:r>
    </w:p>
    <w:p>
      <w:pPr/>
      <w:r>
        <w:t xml:space="preserve">The Steering Committee may update these guidelines and will tell members about any changes. The current version is always available on the Society's website.</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 w:numId="4">
    <w:abstractNumId w:val="0"/>
  </w:num>
  <w:num w:numId="5">
    <w:abstractNumId w:val="0"/>
  </w:num>
  <w:num w:numId="6">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ISVB Member Guidelines</dc:title>
  <dc:description>Claude Docs node/7fad8af3-956b@11 docx-w6</dc:description>
  <cp:revision>11</cp:revision>
</cp:coreProperties>
</file>